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CD5F0" w14:textId="50E16A7C" w:rsidR="00AE246E" w:rsidRPr="00416DEC" w:rsidRDefault="00AE246E" w:rsidP="00BF36D3">
      <w:pPr>
        <w:jc w:val="both"/>
        <w:rPr>
          <w:rFonts w:ascii="Arial" w:hAnsi="Arial" w:cs="Arial"/>
          <w:u w:val="single"/>
        </w:rPr>
      </w:pPr>
      <w:r w:rsidRPr="00416DEC">
        <w:rPr>
          <w:rFonts w:ascii="Arial" w:hAnsi="Arial" w:cs="Arial"/>
          <w:u w:val="single"/>
        </w:rPr>
        <w:t xml:space="preserve">LAMILUX Composites </w:t>
      </w:r>
      <w:r w:rsidR="007C7FDF" w:rsidRPr="00416DEC">
        <w:rPr>
          <w:rFonts w:ascii="Arial" w:hAnsi="Arial" w:cs="Arial"/>
          <w:u w:val="single"/>
        </w:rPr>
        <w:t xml:space="preserve">erneut </w:t>
      </w:r>
      <w:r w:rsidR="00976A19" w:rsidRPr="00416DEC">
        <w:rPr>
          <w:rFonts w:ascii="Arial" w:hAnsi="Arial" w:cs="Arial"/>
          <w:u w:val="single"/>
        </w:rPr>
        <w:t>a</w:t>
      </w:r>
      <w:r w:rsidR="007C7FDF" w:rsidRPr="00416DEC">
        <w:rPr>
          <w:rFonts w:ascii="Arial" w:hAnsi="Arial" w:cs="Arial"/>
          <w:u w:val="single"/>
        </w:rPr>
        <w:t>usgezeichnet</w:t>
      </w:r>
    </w:p>
    <w:p w14:paraId="26935EBE" w14:textId="77777777" w:rsidR="000A7850" w:rsidRPr="00416DEC" w:rsidRDefault="000A7850" w:rsidP="00BF36D3">
      <w:pPr>
        <w:spacing w:line="360" w:lineRule="auto"/>
        <w:jc w:val="both"/>
        <w:rPr>
          <w:rFonts w:ascii="Arial" w:hAnsi="Arial" w:cs="Arial"/>
          <w:bCs/>
          <w:sz w:val="22"/>
          <w:szCs w:val="22"/>
          <w:u w:val="single"/>
        </w:rPr>
      </w:pPr>
    </w:p>
    <w:p w14:paraId="32F82EF1" w14:textId="5749EC44" w:rsidR="00AE246E" w:rsidRDefault="007C7FDF" w:rsidP="00BF36D3">
      <w:pPr>
        <w:spacing w:line="360" w:lineRule="auto"/>
        <w:jc w:val="both"/>
        <w:rPr>
          <w:rFonts w:ascii="Arial" w:hAnsi="Arial" w:cs="Arial"/>
          <w:bCs/>
          <w:sz w:val="22"/>
          <w:szCs w:val="22"/>
        </w:rPr>
      </w:pPr>
      <w:r w:rsidRPr="007C7FDF">
        <w:rPr>
          <w:rFonts w:ascii="Arial" w:hAnsi="Arial" w:cs="Arial"/>
          <w:b/>
          <w:bCs/>
          <w:sz w:val="48"/>
          <w:szCs w:val="48"/>
        </w:rPr>
        <w:t>LAMILUX Composites als „Weltmarktführer Future Champion 2026“ ausgezeichnet</w:t>
      </w:r>
    </w:p>
    <w:p w14:paraId="515FD8B8" w14:textId="77777777" w:rsidR="00E520DC" w:rsidRDefault="00E520DC" w:rsidP="00BF36D3">
      <w:pPr>
        <w:spacing w:line="360" w:lineRule="auto"/>
        <w:jc w:val="both"/>
        <w:rPr>
          <w:rFonts w:ascii="Arial" w:hAnsi="Arial" w:cs="Arial"/>
          <w:bCs/>
          <w:sz w:val="22"/>
          <w:szCs w:val="22"/>
        </w:rPr>
      </w:pPr>
    </w:p>
    <w:p w14:paraId="1BBA6F23" w14:textId="77777777" w:rsidR="007C7FDF" w:rsidRPr="007C7FDF" w:rsidRDefault="007C7FDF" w:rsidP="007C7FDF">
      <w:pPr>
        <w:spacing w:line="360" w:lineRule="auto"/>
        <w:jc w:val="both"/>
        <w:rPr>
          <w:rFonts w:ascii="Arial" w:hAnsi="Arial" w:cs="Arial"/>
          <w:b/>
          <w:sz w:val="22"/>
          <w:szCs w:val="22"/>
        </w:rPr>
      </w:pPr>
      <w:r w:rsidRPr="007C7FDF">
        <w:rPr>
          <w:rFonts w:ascii="Arial" w:hAnsi="Arial" w:cs="Arial"/>
          <w:b/>
          <w:sz w:val="22"/>
          <w:szCs w:val="22"/>
        </w:rPr>
        <w:t xml:space="preserve">LAMILUX Composites wurde im aktuellen Ranking der </w:t>
      </w:r>
      <w:r w:rsidRPr="007C7FDF">
        <w:rPr>
          <w:rFonts w:ascii="Arial" w:hAnsi="Arial" w:cs="Arial"/>
          <w:b/>
          <w:i/>
          <w:iCs/>
          <w:sz w:val="22"/>
          <w:szCs w:val="22"/>
        </w:rPr>
        <w:t>WirtschaftsWoche</w:t>
      </w:r>
      <w:r w:rsidRPr="007C7FDF">
        <w:rPr>
          <w:rFonts w:ascii="Arial" w:hAnsi="Arial" w:cs="Arial"/>
          <w:b/>
          <w:sz w:val="22"/>
          <w:szCs w:val="22"/>
        </w:rPr>
        <w:t xml:space="preserve"> als „Weltmarktführer Future Champion 2026“ ausgezeichnet. Das Ranking wird in Zusammenarbeit mit der Universität St. Gallen erstellt und würdigt mittelständische Unternehmen, die in ihren jeweiligen Marktsegmenten weltweit führend sind oder sich auf dem Weg dorthin befinden.</w:t>
      </w:r>
    </w:p>
    <w:p w14:paraId="4081286C" w14:textId="77777777" w:rsidR="007C7FDF" w:rsidRPr="007C7FDF" w:rsidRDefault="007C7FDF" w:rsidP="007C7FDF">
      <w:pPr>
        <w:spacing w:line="360" w:lineRule="auto"/>
        <w:jc w:val="both"/>
        <w:rPr>
          <w:rFonts w:ascii="Arial" w:hAnsi="Arial" w:cs="Arial"/>
          <w:bCs/>
          <w:sz w:val="22"/>
          <w:szCs w:val="22"/>
        </w:rPr>
      </w:pPr>
    </w:p>
    <w:p w14:paraId="5A4651DA" w14:textId="77777777" w:rsidR="007C7FDF" w:rsidRDefault="007C7FDF" w:rsidP="007C7FDF">
      <w:pPr>
        <w:spacing w:line="360" w:lineRule="auto"/>
        <w:jc w:val="both"/>
        <w:rPr>
          <w:rFonts w:ascii="Arial" w:hAnsi="Arial" w:cs="Arial"/>
          <w:bCs/>
          <w:sz w:val="22"/>
          <w:szCs w:val="22"/>
        </w:rPr>
      </w:pPr>
      <w:r w:rsidRPr="007C7FDF">
        <w:rPr>
          <w:rFonts w:ascii="Arial" w:hAnsi="Arial" w:cs="Arial"/>
          <w:bCs/>
          <w:sz w:val="22"/>
          <w:szCs w:val="22"/>
        </w:rPr>
        <w:t>Die Auszeichnung bestätigt die starke internationale Marktposition von LAMILUX Composites sowie die nachhaltige Wachstumsstrategie und hohe Innovationskraft des Unternehmens. Bewertet wurden unter anderem die globale Marktstellung, der Auslandsumsatzanteil, die internationale Präsenz auf mehreren Kontinenten sowie die Zukunftsfähigkeit des Geschäftsmodells.</w:t>
      </w:r>
    </w:p>
    <w:p w14:paraId="1CD6AC95" w14:textId="77777777" w:rsidR="007C7FDF" w:rsidRPr="007C7FDF" w:rsidRDefault="007C7FDF" w:rsidP="007C7FDF">
      <w:pPr>
        <w:spacing w:line="360" w:lineRule="auto"/>
        <w:jc w:val="both"/>
        <w:rPr>
          <w:rFonts w:ascii="Arial" w:hAnsi="Arial" w:cs="Arial"/>
          <w:bCs/>
          <w:sz w:val="22"/>
          <w:szCs w:val="22"/>
        </w:rPr>
      </w:pPr>
    </w:p>
    <w:p w14:paraId="56BF049E" w14:textId="77777777" w:rsidR="007C7FDF" w:rsidRPr="007C7FDF" w:rsidRDefault="007C7FDF" w:rsidP="007C7FDF">
      <w:pPr>
        <w:spacing w:line="360" w:lineRule="auto"/>
        <w:jc w:val="both"/>
        <w:rPr>
          <w:rFonts w:ascii="Arial" w:hAnsi="Arial" w:cs="Arial"/>
          <w:bCs/>
          <w:sz w:val="22"/>
          <w:szCs w:val="22"/>
        </w:rPr>
      </w:pPr>
      <w:r w:rsidRPr="007C7FDF">
        <w:rPr>
          <w:rFonts w:ascii="Arial" w:hAnsi="Arial" w:cs="Arial"/>
          <w:bCs/>
          <w:sz w:val="22"/>
          <w:szCs w:val="22"/>
        </w:rPr>
        <w:t>LAMILUX Composites entwickelt und produziert hochwertige faserverstärkte Kunststoffe und ist weltweit als leistungsstarker Partner für anspruchsvolle industrielle Anwendungen etabliert. Zu den Kernmärkten zählen unter anderem die Caravan- und Reisemobilindustrie, der Nutzfahrzeug- und Transportsektor sowie weitere industrielle Anwendungen, bei denen Qualität, Langlebigkeit und Prozesssicherheit entscheidend sind.</w:t>
      </w:r>
    </w:p>
    <w:p w14:paraId="7920F4DE" w14:textId="77777777" w:rsidR="007C7FDF" w:rsidRDefault="007C7FDF" w:rsidP="007C7FDF">
      <w:pPr>
        <w:spacing w:line="360" w:lineRule="auto"/>
        <w:jc w:val="both"/>
        <w:rPr>
          <w:rFonts w:ascii="Arial" w:hAnsi="Arial" w:cs="Arial"/>
          <w:bCs/>
          <w:sz w:val="22"/>
          <w:szCs w:val="22"/>
        </w:rPr>
      </w:pPr>
      <w:r w:rsidRPr="007C7FDF">
        <w:rPr>
          <w:rFonts w:ascii="Arial" w:hAnsi="Arial" w:cs="Arial"/>
          <w:bCs/>
          <w:sz w:val="22"/>
          <w:szCs w:val="22"/>
        </w:rPr>
        <w:lastRenderedPageBreak/>
        <w:t>Die Aufnahme in das Ranking unterstreicht die erfolgreiche internationale Ausrichtung von LAMILUX Composites auch in wirtschaftlich herausfordernden Zeiten. Gleichzeitig macht die Auszeichnung sichtbar, dass das Unternehmen mit technologischer Kompetenz, konsequenter Kundenorientierung und kontinuierlicher Weiterentwicklung zu den Zukunftsträgern des deutschen Mittelstands zählt.</w:t>
      </w:r>
    </w:p>
    <w:p w14:paraId="245E8A35" w14:textId="77777777" w:rsidR="007C7FDF" w:rsidRPr="007C7FDF" w:rsidRDefault="007C7FDF" w:rsidP="007C7FDF">
      <w:pPr>
        <w:spacing w:line="360" w:lineRule="auto"/>
        <w:jc w:val="both"/>
        <w:rPr>
          <w:rFonts w:ascii="Arial" w:hAnsi="Arial" w:cs="Arial"/>
          <w:bCs/>
          <w:sz w:val="22"/>
          <w:szCs w:val="22"/>
        </w:rPr>
      </w:pPr>
    </w:p>
    <w:p w14:paraId="005ECFD4" w14:textId="77777777" w:rsidR="007C7FDF" w:rsidRPr="007C7FDF" w:rsidRDefault="007C7FDF" w:rsidP="007C7FDF">
      <w:pPr>
        <w:spacing w:line="360" w:lineRule="auto"/>
        <w:jc w:val="both"/>
        <w:rPr>
          <w:rFonts w:ascii="Arial" w:hAnsi="Arial" w:cs="Arial"/>
          <w:bCs/>
          <w:sz w:val="22"/>
          <w:szCs w:val="22"/>
        </w:rPr>
      </w:pPr>
      <w:r w:rsidRPr="007C7FDF">
        <w:rPr>
          <w:rFonts w:ascii="Arial" w:hAnsi="Arial" w:cs="Arial"/>
          <w:bCs/>
          <w:sz w:val="22"/>
          <w:szCs w:val="22"/>
        </w:rPr>
        <w:t xml:space="preserve">Das Ranking „Weltmarktführer Future Champions“ erscheint jährlich in der </w:t>
      </w:r>
      <w:r w:rsidRPr="007C7FDF">
        <w:rPr>
          <w:rFonts w:ascii="Arial" w:hAnsi="Arial" w:cs="Arial"/>
          <w:bCs/>
          <w:i/>
          <w:iCs/>
          <w:sz w:val="22"/>
          <w:szCs w:val="22"/>
        </w:rPr>
        <w:t>WirtschaftsWoche</w:t>
      </w:r>
      <w:r w:rsidRPr="007C7FDF">
        <w:rPr>
          <w:rFonts w:ascii="Arial" w:hAnsi="Arial" w:cs="Arial"/>
          <w:bCs/>
          <w:sz w:val="22"/>
          <w:szCs w:val="22"/>
        </w:rPr>
        <w:t xml:space="preserve"> und gilt als eine der bedeutendsten Auszeichnungen für wachstumsstarke mittelständische Unternehmen mit internationaler Relevanz.</w:t>
      </w:r>
    </w:p>
    <w:p w14:paraId="2AD2DCA0" w14:textId="77777777" w:rsidR="00AE246E" w:rsidRPr="00ED02CB" w:rsidRDefault="00AE246E" w:rsidP="00BF36D3">
      <w:pPr>
        <w:spacing w:line="276" w:lineRule="auto"/>
        <w:jc w:val="both"/>
        <w:rPr>
          <w:rFonts w:ascii="Arial" w:hAnsi="Arial" w:cs="Arial"/>
          <w:bCs/>
          <w:sz w:val="22"/>
          <w:szCs w:val="22"/>
        </w:rPr>
      </w:pPr>
    </w:p>
    <w:p w14:paraId="7666B4A6" w14:textId="77777777" w:rsidR="00AE246E" w:rsidRPr="00ED02CB" w:rsidRDefault="00AE246E" w:rsidP="00BF36D3">
      <w:pPr>
        <w:spacing w:line="276" w:lineRule="auto"/>
        <w:jc w:val="both"/>
        <w:rPr>
          <w:rFonts w:ascii="Arial" w:hAnsi="Arial" w:cs="Arial"/>
          <w:sz w:val="22"/>
          <w:szCs w:val="22"/>
        </w:rPr>
      </w:pPr>
      <w:r w:rsidRPr="00ED02CB">
        <w:rPr>
          <w:rFonts w:ascii="Arial" w:hAnsi="Arial" w:cs="Arial"/>
          <w:sz w:val="22"/>
          <w:szCs w:val="22"/>
        </w:rPr>
        <w:t>…</w:t>
      </w:r>
    </w:p>
    <w:p w14:paraId="5D2D2BEE" w14:textId="77777777" w:rsidR="00AE246E" w:rsidRPr="00ED02CB" w:rsidRDefault="00AE246E" w:rsidP="00BF36D3">
      <w:pPr>
        <w:spacing w:line="276" w:lineRule="auto"/>
        <w:jc w:val="both"/>
        <w:rPr>
          <w:rFonts w:ascii="Arial" w:hAnsi="Arial" w:cs="Arial"/>
          <w:sz w:val="22"/>
          <w:szCs w:val="22"/>
        </w:rPr>
      </w:pPr>
    </w:p>
    <w:p w14:paraId="28FB2B65" w14:textId="77777777" w:rsidR="00AE246E" w:rsidRPr="00ED02CB" w:rsidRDefault="00AE246E" w:rsidP="00BF36D3">
      <w:pPr>
        <w:spacing w:line="276" w:lineRule="auto"/>
        <w:jc w:val="both"/>
        <w:rPr>
          <w:rFonts w:ascii="Arial" w:hAnsi="Arial" w:cs="Arial"/>
          <w:sz w:val="22"/>
          <w:szCs w:val="22"/>
        </w:rPr>
      </w:pPr>
      <w:hyperlink r:id="rId7" w:history="1">
        <w:r w:rsidRPr="00ED02CB">
          <w:rPr>
            <w:rStyle w:val="Hyperlink"/>
            <w:rFonts w:ascii="Arial" w:hAnsi="Arial" w:cs="Arial"/>
            <w:sz w:val="22"/>
            <w:szCs w:val="22"/>
          </w:rPr>
          <w:t>www.lamilux.de</w:t>
        </w:r>
      </w:hyperlink>
    </w:p>
    <w:p w14:paraId="46BC84AD" w14:textId="77777777" w:rsidR="00AE246E" w:rsidRPr="00ED02CB" w:rsidRDefault="00AE246E" w:rsidP="00BF36D3">
      <w:pPr>
        <w:spacing w:line="276" w:lineRule="auto"/>
        <w:jc w:val="both"/>
        <w:rPr>
          <w:rFonts w:ascii="Arial" w:hAnsi="Arial" w:cs="Arial"/>
          <w:sz w:val="22"/>
          <w:szCs w:val="22"/>
        </w:rPr>
      </w:pPr>
    </w:p>
    <w:p w14:paraId="493AC986" w14:textId="77777777" w:rsidR="00AE246E" w:rsidRPr="00ED02CB" w:rsidRDefault="00AE246E" w:rsidP="00BF36D3">
      <w:pPr>
        <w:spacing w:line="360" w:lineRule="auto"/>
        <w:jc w:val="both"/>
        <w:rPr>
          <w:rFonts w:ascii="Arial" w:hAnsi="Arial" w:cs="Arial"/>
          <w:b/>
          <w:bCs/>
          <w:color w:val="000000" w:themeColor="text1"/>
          <w:sz w:val="22"/>
          <w:szCs w:val="22"/>
        </w:rPr>
      </w:pPr>
      <w:r w:rsidRPr="00ED02CB">
        <w:rPr>
          <w:rFonts w:ascii="Arial" w:hAnsi="Arial" w:cs="Arial"/>
          <w:b/>
          <w:bCs/>
          <w:color w:val="000000" w:themeColor="text1"/>
          <w:sz w:val="22"/>
          <w:szCs w:val="22"/>
        </w:rPr>
        <w:t>Über die LAMILUX Composites GmbH</w:t>
      </w:r>
    </w:p>
    <w:p w14:paraId="6F51EA00" w14:textId="77777777" w:rsidR="00AE246E" w:rsidRPr="00FB4C43" w:rsidRDefault="00AE246E" w:rsidP="00BF36D3">
      <w:pPr>
        <w:spacing w:line="360" w:lineRule="auto"/>
        <w:jc w:val="both"/>
        <w:rPr>
          <w:rFonts w:ascii="Arial" w:hAnsi="Arial" w:cs="Arial"/>
          <w:color w:val="000000" w:themeColor="text1"/>
          <w:sz w:val="22"/>
          <w:szCs w:val="22"/>
        </w:rPr>
      </w:pPr>
      <w:r w:rsidRPr="00ED02CB">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ED02CB">
        <w:rPr>
          <w:rFonts w:ascii="Arial" w:hAnsi="Arial" w:cs="Arial"/>
          <w:color w:val="000000" w:themeColor="text1"/>
          <w:sz w:val="22"/>
          <w:szCs w:val="22"/>
        </w:rPr>
        <w:t>Caravanbau</w:t>
      </w:r>
      <w:proofErr w:type="spellEnd"/>
      <w:r w:rsidRPr="00ED02CB">
        <w:rPr>
          <w:rFonts w:ascii="Arial" w:hAnsi="Arial" w:cs="Arial"/>
          <w:color w:val="000000" w:themeColor="text1"/>
          <w:sz w:val="22"/>
          <w:szCs w:val="22"/>
        </w:rPr>
        <w:t>, Kühlhaus- und Kühlzellenbau, der Bauindustrie sowie zahlreicher weiterer Industriesegmente. Der Sitz der familiengeführten Firma befindet sich in Re</w:t>
      </w:r>
      <w:r>
        <w:rPr>
          <w:rFonts w:ascii="Arial" w:hAnsi="Arial" w:cs="Arial"/>
          <w:color w:val="000000" w:themeColor="text1"/>
          <w:sz w:val="22"/>
          <w:szCs w:val="22"/>
        </w:rPr>
        <w:t>hau, Bayern.</w:t>
      </w:r>
    </w:p>
    <w:p w14:paraId="0CF95FC2" w14:textId="77777777" w:rsidR="00AE246E" w:rsidRDefault="00AE246E" w:rsidP="00FB4C43">
      <w:pPr>
        <w:spacing w:line="360" w:lineRule="auto"/>
        <w:jc w:val="both"/>
        <w:rPr>
          <w:rFonts w:ascii="Arial" w:hAnsi="Arial" w:cs="Arial"/>
          <w:bCs/>
          <w:sz w:val="22"/>
          <w:szCs w:val="22"/>
        </w:rPr>
      </w:pPr>
    </w:p>
    <w:p w14:paraId="58C6E798" w14:textId="77777777" w:rsidR="00AE246E" w:rsidRDefault="00AE246E" w:rsidP="00FB4C43">
      <w:pPr>
        <w:spacing w:line="360" w:lineRule="auto"/>
        <w:jc w:val="both"/>
        <w:rPr>
          <w:rFonts w:ascii="Arial" w:hAnsi="Arial" w:cs="Arial"/>
          <w:bCs/>
          <w:sz w:val="22"/>
          <w:szCs w:val="22"/>
        </w:rPr>
      </w:pPr>
    </w:p>
    <w:sectPr w:rsidR="00AE246E"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1FF77" w14:textId="77777777" w:rsidR="00005947" w:rsidRDefault="00005947" w:rsidP="00D52FF7">
      <w:r>
        <w:separator/>
      </w:r>
    </w:p>
  </w:endnote>
  <w:endnote w:type="continuationSeparator" w:id="0">
    <w:p w14:paraId="201C1D96"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F5A1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F5A1F" w:rsidRPr="00123815" w:rsidRDefault="00DF5A1F" w:rsidP="001A2540">
    <w:pPr>
      <w:pStyle w:val="Fuzeile"/>
      <w:rPr>
        <w:rFonts w:ascii="Arial" w:hAnsi="Arial" w:cs="Arial"/>
        <w:color w:val="A6A6A6" w:themeColor="background1" w:themeShade="A6"/>
        <w:sz w:val="16"/>
      </w:rPr>
    </w:pPr>
  </w:p>
  <w:p w14:paraId="6B96A9F6" w14:textId="1EE23D6F"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w:t>
    </w:r>
    <w:r w:rsidR="007D7311">
      <w:rPr>
        <w:rFonts w:ascii="Arial" w:hAnsi="Arial" w:cs="Arial"/>
        <w:color w:val="A6A6A6" w:themeColor="background1" w:themeShade="A6"/>
        <w:sz w:val="16"/>
      </w:rPr>
      <w:t xml:space="preserve"> Composites</w:t>
    </w:r>
    <w:r w:rsidRPr="00123815">
      <w:rPr>
        <w:rFonts w:ascii="Arial" w:hAnsi="Arial" w:cs="Arial"/>
        <w:color w:val="A6A6A6" w:themeColor="background1" w:themeShade="A6"/>
        <w:sz w:val="16"/>
      </w:rPr>
      <w:t xml:space="preserve"> GmbH</w:t>
    </w:r>
  </w:p>
  <w:p w14:paraId="0E033888" w14:textId="6E947729"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FDB325E"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DF5A1F" w:rsidRPr="00123815" w:rsidRDefault="00DF5A1F" w:rsidP="001A2540">
    <w:pPr>
      <w:pStyle w:val="Fuzeile"/>
      <w:rPr>
        <w:rFonts w:ascii="Arial" w:hAnsi="Arial" w:cs="Arial"/>
        <w:color w:val="A6A6A6" w:themeColor="background1" w:themeShade="A6"/>
        <w:sz w:val="16"/>
      </w:rPr>
    </w:pPr>
  </w:p>
  <w:p w14:paraId="2D99A013" w14:textId="192CF9BC"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5D9FEDD7" w14:textId="031C95FB"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4FBFA" w14:textId="77777777" w:rsidR="00005947" w:rsidRDefault="00005947" w:rsidP="00D52FF7">
      <w:r>
        <w:separator/>
      </w:r>
    </w:p>
  </w:footnote>
  <w:footnote w:type="continuationSeparator" w:id="0">
    <w:p w14:paraId="16D2C99F"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3FD2C90"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7C7FDF">
      <w:rPr>
        <w:rFonts w:ascii="Arial" w:hAnsi="Arial" w:cs="Arial"/>
      </w:rPr>
      <w:t>Februar 2026</w:t>
    </w:r>
  </w:p>
  <w:p w14:paraId="549B2A5E" w14:textId="77777777" w:rsidR="00056167" w:rsidRDefault="00056167">
    <w:pPr>
      <w:pStyle w:val="Kopfzeile"/>
      <w:rPr>
        <w:rFonts w:ascii="Arial" w:hAnsi="Arial" w:cs="Arial"/>
      </w:rPr>
    </w:pPr>
  </w:p>
  <w:p w14:paraId="59F9D09A" w14:textId="38F3FF19" w:rsidR="00DF5A1F" w:rsidRDefault="00DF5A1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982964"/>
    <w:multiLevelType w:val="multilevel"/>
    <w:tmpl w:val="3F7A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4E2F30"/>
    <w:multiLevelType w:val="hybridMultilevel"/>
    <w:tmpl w:val="6EA41A0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F36AEF"/>
    <w:multiLevelType w:val="multilevel"/>
    <w:tmpl w:val="6192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208375">
    <w:abstractNumId w:val="0"/>
  </w:num>
  <w:num w:numId="2" w16cid:durableId="679311429">
    <w:abstractNumId w:val="2"/>
  </w:num>
  <w:num w:numId="3" w16cid:durableId="1697078929">
    <w:abstractNumId w:val="1"/>
  </w:num>
  <w:num w:numId="4" w16cid:durableId="2055617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723B7"/>
    <w:rsid w:val="00080CA8"/>
    <w:rsid w:val="00085551"/>
    <w:rsid w:val="0009343C"/>
    <w:rsid w:val="000A23F6"/>
    <w:rsid w:val="000A4F1A"/>
    <w:rsid w:val="000A7850"/>
    <w:rsid w:val="000C2B7C"/>
    <w:rsid w:val="000C559E"/>
    <w:rsid w:val="000D0593"/>
    <w:rsid w:val="000D27A2"/>
    <w:rsid w:val="000D560D"/>
    <w:rsid w:val="000E66C7"/>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67A8B"/>
    <w:rsid w:val="00172B9E"/>
    <w:rsid w:val="00182B58"/>
    <w:rsid w:val="00182F4E"/>
    <w:rsid w:val="00186402"/>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62AA"/>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07AFE"/>
    <w:rsid w:val="003234CE"/>
    <w:rsid w:val="003253D8"/>
    <w:rsid w:val="00325498"/>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4D52"/>
    <w:rsid w:val="00416DEC"/>
    <w:rsid w:val="00421D64"/>
    <w:rsid w:val="00423556"/>
    <w:rsid w:val="00430E74"/>
    <w:rsid w:val="004353BF"/>
    <w:rsid w:val="004366F4"/>
    <w:rsid w:val="0044025A"/>
    <w:rsid w:val="00455774"/>
    <w:rsid w:val="0046080D"/>
    <w:rsid w:val="00460D05"/>
    <w:rsid w:val="004664EE"/>
    <w:rsid w:val="00470353"/>
    <w:rsid w:val="00477FA1"/>
    <w:rsid w:val="00483EBD"/>
    <w:rsid w:val="004843F3"/>
    <w:rsid w:val="00491C64"/>
    <w:rsid w:val="00491FDB"/>
    <w:rsid w:val="00497177"/>
    <w:rsid w:val="004A4455"/>
    <w:rsid w:val="004B340A"/>
    <w:rsid w:val="004C4972"/>
    <w:rsid w:val="004C76A8"/>
    <w:rsid w:val="004D5F97"/>
    <w:rsid w:val="004E079E"/>
    <w:rsid w:val="004E0AC9"/>
    <w:rsid w:val="004E49C1"/>
    <w:rsid w:val="004F2009"/>
    <w:rsid w:val="004F596F"/>
    <w:rsid w:val="00500234"/>
    <w:rsid w:val="00506911"/>
    <w:rsid w:val="005075C4"/>
    <w:rsid w:val="00521744"/>
    <w:rsid w:val="00524852"/>
    <w:rsid w:val="005363AE"/>
    <w:rsid w:val="00557B1E"/>
    <w:rsid w:val="005620EB"/>
    <w:rsid w:val="00573478"/>
    <w:rsid w:val="00574D2E"/>
    <w:rsid w:val="0058298C"/>
    <w:rsid w:val="00584198"/>
    <w:rsid w:val="00590732"/>
    <w:rsid w:val="00594A52"/>
    <w:rsid w:val="0059530D"/>
    <w:rsid w:val="00595631"/>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2118"/>
    <w:rsid w:val="00660DC8"/>
    <w:rsid w:val="00661C3E"/>
    <w:rsid w:val="00663F2C"/>
    <w:rsid w:val="00672C26"/>
    <w:rsid w:val="006876EE"/>
    <w:rsid w:val="006905D0"/>
    <w:rsid w:val="00694647"/>
    <w:rsid w:val="006B4902"/>
    <w:rsid w:val="006B5296"/>
    <w:rsid w:val="006B6879"/>
    <w:rsid w:val="006C2043"/>
    <w:rsid w:val="006C32FE"/>
    <w:rsid w:val="006C7C4D"/>
    <w:rsid w:val="006D0853"/>
    <w:rsid w:val="006F5AD5"/>
    <w:rsid w:val="0071053E"/>
    <w:rsid w:val="007215FB"/>
    <w:rsid w:val="00724A6B"/>
    <w:rsid w:val="00731591"/>
    <w:rsid w:val="00744DD2"/>
    <w:rsid w:val="00751907"/>
    <w:rsid w:val="00753C46"/>
    <w:rsid w:val="00755CED"/>
    <w:rsid w:val="00755E6A"/>
    <w:rsid w:val="00761767"/>
    <w:rsid w:val="00764350"/>
    <w:rsid w:val="00783661"/>
    <w:rsid w:val="00783911"/>
    <w:rsid w:val="0079159D"/>
    <w:rsid w:val="00793BD5"/>
    <w:rsid w:val="00793F46"/>
    <w:rsid w:val="00795D07"/>
    <w:rsid w:val="007B1865"/>
    <w:rsid w:val="007C4273"/>
    <w:rsid w:val="007C5FDF"/>
    <w:rsid w:val="007C6052"/>
    <w:rsid w:val="007C7FDF"/>
    <w:rsid w:val="007D677D"/>
    <w:rsid w:val="007D7311"/>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B41A5"/>
    <w:rsid w:val="008D0BD1"/>
    <w:rsid w:val="008D172E"/>
    <w:rsid w:val="008D58B4"/>
    <w:rsid w:val="008D5A8C"/>
    <w:rsid w:val="008D6A0C"/>
    <w:rsid w:val="008E220A"/>
    <w:rsid w:val="008E4A7C"/>
    <w:rsid w:val="008E5CAF"/>
    <w:rsid w:val="008E66E4"/>
    <w:rsid w:val="008E6F6A"/>
    <w:rsid w:val="008E7967"/>
    <w:rsid w:val="008F4C38"/>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A19"/>
    <w:rsid w:val="00976B22"/>
    <w:rsid w:val="00982081"/>
    <w:rsid w:val="00991C21"/>
    <w:rsid w:val="009A240E"/>
    <w:rsid w:val="009A331B"/>
    <w:rsid w:val="009A3CEE"/>
    <w:rsid w:val="009B6B27"/>
    <w:rsid w:val="009B7157"/>
    <w:rsid w:val="009C077B"/>
    <w:rsid w:val="009C2D61"/>
    <w:rsid w:val="009C5D47"/>
    <w:rsid w:val="009C6D6D"/>
    <w:rsid w:val="009C78F4"/>
    <w:rsid w:val="009D057A"/>
    <w:rsid w:val="009D1176"/>
    <w:rsid w:val="009D61FE"/>
    <w:rsid w:val="009D7411"/>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67E0C"/>
    <w:rsid w:val="00A740FB"/>
    <w:rsid w:val="00A81808"/>
    <w:rsid w:val="00A9065D"/>
    <w:rsid w:val="00A97D5A"/>
    <w:rsid w:val="00AB2ED5"/>
    <w:rsid w:val="00AC19F6"/>
    <w:rsid w:val="00AC36BF"/>
    <w:rsid w:val="00AD7EAE"/>
    <w:rsid w:val="00AE08A1"/>
    <w:rsid w:val="00AE0976"/>
    <w:rsid w:val="00AE246E"/>
    <w:rsid w:val="00B05871"/>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36D3"/>
    <w:rsid w:val="00BF60E7"/>
    <w:rsid w:val="00C007E9"/>
    <w:rsid w:val="00C04799"/>
    <w:rsid w:val="00C16107"/>
    <w:rsid w:val="00C30AAF"/>
    <w:rsid w:val="00C349C2"/>
    <w:rsid w:val="00C3672A"/>
    <w:rsid w:val="00C42648"/>
    <w:rsid w:val="00C50810"/>
    <w:rsid w:val="00C5783A"/>
    <w:rsid w:val="00C61C2C"/>
    <w:rsid w:val="00C64692"/>
    <w:rsid w:val="00C66F38"/>
    <w:rsid w:val="00C6729F"/>
    <w:rsid w:val="00C816E8"/>
    <w:rsid w:val="00C94BE4"/>
    <w:rsid w:val="00CB1CC7"/>
    <w:rsid w:val="00CB41B6"/>
    <w:rsid w:val="00CB553C"/>
    <w:rsid w:val="00CB6D8B"/>
    <w:rsid w:val="00CD16BC"/>
    <w:rsid w:val="00CD3F3A"/>
    <w:rsid w:val="00CE0D56"/>
    <w:rsid w:val="00CE7C9A"/>
    <w:rsid w:val="00CF154E"/>
    <w:rsid w:val="00CF6903"/>
    <w:rsid w:val="00D1701D"/>
    <w:rsid w:val="00D319B3"/>
    <w:rsid w:val="00D32787"/>
    <w:rsid w:val="00D336D8"/>
    <w:rsid w:val="00D33FF3"/>
    <w:rsid w:val="00D35DDE"/>
    <w:rsid w:val="00D507EF"/>
    <w:rsid w:val="00D52FF7"/>
    <w:rsid w:val="00D746E3"/>
    <w:rsid w:val="00D861BD"/>
    <w:rsid w:val="00D9247C"/>
    <w:rsid w:val="00D96EB7"/>
    <w:rsid w:val="00DA5C0A"/>
    <w:rsid w:val="00DB104A"/>
    <w:rsid w:val="00DB3D05"/>
    <w:rsid w:val="00DB40B6"/>
    <w:rsid w:val="00DB5C6D"/>
    <w:rsid w:val="00DC4381"/>
    <w:rsid w:val="00DD1675"/>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20DC"/>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B71A1"/>
    <w:rsid w:val="00ED1D2F"/>
    <w:rsid w:val="00ED1ECA"/>
    <w:rsid w:val="00EE2D68"/>
    <w:rsid w:val="00EF015A"/>
    <w:rsid w:val="00EF419C"/>
    <w:rsid w:val="00EF74DE"/>
    <w:rsid w:val="00F015A6"/>
    <w:rsid w:val="00F11C67"/>
    <w:rsid w:val="00F15EBA"/>
    <w:rsid w:val="00F209EE"/>
    <w:rsid w:val="00F269C2"/>
    <w:rsid w:val="00F40A6A"/>
    <w:rsid w:val="00F43240"/>
    <w:rsid w:val="00F44EF5"/>
    <w:rsid w:val="00F47A31"/>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86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6A1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 w:type="paragraph" w:styleId="Listenabsatz">
    <w:name w:val="List Paragraph"/>
    <w:basedOn w:val="Standard"/>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911107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38024682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46313931">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9583915">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2576562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99955891">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16</cp:revision>
  <cp:lastPrinted>2026-02-10T08:20:00Z</cp:lastPrinted>
  <dcterms:created xsi:type="dcterms:W3CDTF">2025-05-27T06:44:00Z</dcterms:created>
  <dcterms:modified xsi:type="dcterms:W3CDTF">2026-02-10T08:21:00Z</dcterms:modified>
</cp:coreProperties>
</file>